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CDF" w:rsidRPr="007C5A58" w:rsidRDefault="001F5CDF" w:rsidP="001F5CDF">
      <w:pPr>
        <w:jc w:val="both"/>
        <w:rPr>
          <w:rFonts w:ascii="Tahoma" w:hAnsi="Tahoma" w:cs="Tahoma"/>
          <w:i/>
          <w:sz w:val="22"/>
          <w:szCs w:val="22"/>
          <w:lang w:val="ca-ES"/>
        </w:rPr>
      </w:pPr>
      <w:r>
        <w:rPr>
          <w:rFonts w:ascii="Tahoma" w:hAnsi="Tahoma" w:cs="Tahoma"/>
          <w:i/>
          <w:sz w:val="22"/>
          <w:szCs w:val="22"/>
          <w:lang w:val="ca-ES"/>
        </w:rPr>
        <w:t>“</w:t>
      </w:r>
      <w:r w:rsidRPr="007C5A58">
        <w:rPr>
          <w:rFonts w:ascii="Tahoma" w:hAnsi="Tahoma" w:cs="Tahoma"/>
          <w:i/>
          <w:sz w:val="22"/>
          <w:szCs w:val="22"/>
          <w:lang w:val="ca-ES"/>
        </w:rPr>
        <w:t>CONVENI DE COL·LABORACIÓ ENTRE L’ADMINISTRACIÓ DE LA GENERALITAT DE CATALUNYA MITJANÇANT EL DEPARTAMENT D’ENSENYAMENT I L’AJUNTAMENT DE SALOU PER A LA REALITZACIÓ D’ACTIVITATS COMPLEMENTÀRIES ESPECÍFIQUES DE L’EDUCACIÓ SECUNDÀRIA OBLIGATÒRIA, ADREÇADES A L’ALUMNAT AMB NECESSITATS EDUCATIVES ESPECÍFIQUES DERIVADES DE LA INADAPTACIÓ AL MEDI ESCOLAR, EN UNITATS D’ESCOLARITZACIÓ COMPARTIDA, PER AL CURS 2018-2019</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REUNITS</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D’una banda,</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La senyora Núria Cuenca León, secretària general del Departament d’Ensenyament, nomenada pel Decret 16/2018, de 2 de juny (DOGC núm. 7634, de 4 de juny) i actuant en l’exercici de les facultats delegades per la Resolució ENS/1839/2011, de 20 de juliol, de delegació de competències de la persona titular del Departament d’Ensenyament (DOGC núm. 5930, de 28 de juliol).</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I de l’altra,</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Pr>
          <w:rFonts w:ascii="Tahoma" w:hAnsi="Tahoma" w:cs="Tahoma"/>
          <w:i/>
          <w:sz w:val="22"/>
          <w:szCs w:val="22"/>
          <w:lang w:val="ca-ES"/>
        </w:rPr>
        <w:t>e</w:t>
      </w:r>
      <w:r w:rsidRPr="007C5A58">
        <w:rPr>
          <w:rFonts w:ascii="Tahoma" w:hAnsi="Tahoma" w:cs="Tahoma"/>
          <w:i/>
          <w:sz w:val="22"/>
          <w:szCs w:val="22"/>
          <w:lang w:val="ca-ES"/>
        </w:rPr>
        <w:t>n nom i representació de l’Ajuntament de Salou l’Il·lustríssim senyor Pere Granados Carrillo, alcalde, nomenat en el Ple de data 13 de juny de 2015, fent ús de les facultats que li són reconegudes a l’article 53 del Text refós de la Llei municipal i de règim local de Catalunya, aprovat pel Decret legislatiu 2/2003, de 28 d’abril.</w:t>
      </w:r>
    </w:p>
    <w:p w:rsidR="001F5CDF"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En ús de les seves atribucions, ambdues parts es reconeixen, mútuament, la capacitat jurídica suficient per formalitzar aquest conveni</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M A N I F E S T E N</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Pr>
          <w:rFonts w:ascii="Tahoma" w:hAnsi="Tahoma" w:cs="Tahoma"/>
          <w:i/>
          <w:sz w:val="22"/>
          <w:szCs w:val="22"/>
          <w:lang w:val="ca-ES"/>
        </w:rPr>
        <w:t>1.</w:t>
      </w:r>
      <w:r w:rsidRPr="007C5A58">
        <w:rPr>
          <w:rFonts w:ascii="Tahoma" w:hAnsi="Tahoma" w:cs="Tahoma"/>
          <w:i/>
          <w:sz w:val="22"/>
          <w:szCs w:val="22"/>
          <w:lang w:val="ca-ES"/>
        </w:rPr>
        <w:t>Pel que respecta a l’objecte del Conveni, la Llei orgànica 2/2006, de 3 de maig, d’educació assenyala a l’article 22, apartat 4, que la educació secundària obligatòria s’organitzarà d’acord als principis d’educació comú i d’atenció a la diversitat dels alumnes, corresponent a les Administracions educatives regular les mesures d’atenció a la diversitat.</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Entre aquestes mesures d’atenció a la diversitat, en l’apartat 5 d’aquest mateix article s’inclouen, entre d’altres, els programes de tractament personalitzat per als alumnes amb necessitats específiques de suport educatiu, i en l’apartat 7, s’indica que aquestes mesures d’atenció a la diversitat han d’estar orientades a la consecució dels objectius de l’educació secundària obligatòria per part de tot l’alumnat i no podran en cap cas, suposar una discriminació que les impedeixi assolir aquests objectius i la titulació corresponent.</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L’article 71 d’aquesta Llei orgànica, estableix que correspon a les administracions educatives assegurar els recursos necessaris perquè els i les alumnes que requereixin una atenció</w:t>
      </w: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educativa diferent de l’ordinària, perquè presenten necessitats educatives especials, puguin assolir el màxim desenvolupament possible de les seves capacitats personals i, en tot cas, els objectius establerts amb caràcter general per a tot l’alumnat.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 xml:space="preserve">I en l’article 72, es preveu que les administracions educatives poden col•laborar amb altres administracions o entitats públiques o privades sense ànim de lucre, institucions o </w:t>
      </w:r>
      <w:r w:rsidRPr="007C5A58">
        <w:rPr>
          <w:rFonts w:ascii="Tahoma" w:hAnsi="Tahoma" w:cs="Tahoma"/>
          <w:i/>
          <w:sz w:val="22"/>
          <w:szCs w:val="22"/>
          <w:lang w:val="ca-ES"/>
        </w:rPr>
        <w:lastRenderedPageBreak/>
        <w:t>associacions, per facilitar l’escolarització i una millor incorporació d’aquest alumnat al centre educatiu.</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2. La Llei 12/2009, del 10 de juliol, d’educació, en l’apartat 4 de l’article 59 assenyala que l'ordenació de l'educació secundària obligatòria ha d'establir programes de diversificació curricular orientats a la consecució de la titulació. Aquests programes poden comprendre activitats regulars fora dels centres, en col·laboració, si escau, amb les administracions locals.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3. El Decret 187/2015, de 25 d’agost, pel qual s’estableix l’ordenació dels ensenyaments de l’educació secundària obligatòria, estableix en l’apartat 3 de l’article 18 que les mesures d’atenció a la diversitat poden ser de caràcter general, específic o extraordinari, i poden establir-se de forma temporal o permanent.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Les mesures extraordinàries són estratègies i eines de caràcter didàctic, curricular, psicopedagògic i organitzatiu que es duen a terme un cop han estat aplicades les mesures específiques i en casos molt concrets que requereixen mesures singularitzades. L’accés a aquestes mesures extraordinàries es fa d’acord amb el procediment establert pel Departament d’Ensenyament. Les unitats d’escolarització compartida (UEC) són una de les mesures extraordinàries d’atenció a la diversitat.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L’apartat 7 d’aquest mateix article 18 estableix que el Departament d’Ensenyament pot establir convenis amb ajuntaments, ens locals i altres institucions, per a la realització d’activitats fora del centre en el marc d’aplicació de les mesures específiques i/o extraordinàries per als alumnes de tercer i quart curs, que no han de comportar vinculació laboral o professional.</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4. El Decret 150/2017, de 17 d’octubre, de l’atenció educativa a l’alumnat en el marc d’un sistema educatiu inclusiu, defineix, en l’article 11 les unitats d’escolarització compartida (UEC), que són unitats pensades per a alumnes a partir de tercer curs d’educació secundària obligatòria. Són estratègies de diversificació curricular que permeten organitzar el currículum d’acord amb els àmbits d’aprenentatge i amb una clara orientació pràctica.</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5. L’Ajuntament de Salou disposa d’un espai i unes instal·lacions idonis, així com de personal i d’estratègies i de mètodes educatius adients per atendre als alumnes adolescents amb absentisme escolar i que presenten dificultats per rebre una escolaritat plenament normalitzada.</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Per tot això, ambdues parts es reconeixen mútua capacitat per actuar i acorden formalitzar aquest conveni de conformitat amb les següents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C L À U S U L E 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PRIMERA.- L’objecte d’aquest conveni és establir els termes de la col·laboració entre l’Administració de la Generalitat de Catalunya, mitjançant el Departament d’Ensenyament i l’Ajuntament de Salou per a prestar serveis d’atenció educativa complementària en UEC, a l’alumnat d’educació secundària obligatòria que presenta problemes de comportament i conductes agressives, absentisme i rebuig escolar, trets d’inadaptació social i risc de marginació, durant el curs 2018-2019.</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lastRenderedPageBreak/>
        <w:t>Les activitats educatives complementàries que es duen a terme es realitzen fora del centre ordinari de tal manera que esdevenen un espai idoni per desenvolupar els àmbits (lingüístic i social, científic i tecnològic i pràctic) que configuren el programa de diversificació curricular.</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SEGONA.- El servei d’atenció educativa complementària en UEC s’adreçarà a l’alumnat, d’entre 14 i 16 anys, i/o extraordinàriament fins a 18 anys, que determini el Departament d’Ensenyament dels centres públics i centres privats concertats, una vegada s’hagin exhaurit tots els recursos del centre docent en relació a l’aplicació de mesures d’atenció a la diversitat o que de forma inequívoca sigui convenient l’ús directe d’aquesta mesura. L’alumnat d’aquest recurs educatiu extern serà aquell que manifesta de forma reiterada i contínua els comportaments següents: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Pr>
          <w:rFonts w:ascii="Tahoma" w:hAnsi="Tahoma" w:cs="Tahoma"/>
          <w:i/>
          <w:sz w:val="22"/>
          <w:szCs w:val="22"/>
          <w:lang w:val="ca-ES"/>
        </w:rPr>
        <w:t>-</w:t>
      </w:r>
      <w:r w:rsidRPr="007C5A58">
        <w:rPr>
          <w:rFonts w:ascii="Tahoma" w:hAnsi="Tahoma" w:cs="Tahoma"/>
          <w:i/>
          <w:sz w:val="22"/>
          <w:szCs w:val="22"/>
          <w:lang w:val="ca-ES"/>
        </w:rPr>
        <w:t>Conductes greus que derivin en situacions d’agressivitat o violència, conductes predelictives, trets d’inadaptació social i/o risc de marginació. Aquests comportaments han de comprometre la bona convivència en el centre; i/o</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Pr>
          <w:rFonts w:ascii="Tahoma" w:hAnsi="Tahoma" w:cs="Tahoma"/>
          <w:i/>
          <w:sz w:val="22"/>
          <w:szCs w:val="22"/>
          <w:lang w:val="ca-ES"/>
        </w:rPr>
        <w:t>-</w:t>
      </w:r>
      <w:r w:rsidRPr="007C5A58">
        <w:rPr>
          <w:rFonts w:ascii="Tahoma" w:hAnsi="Tahoma" w:cs="Tahoma"/>
          <w:i/>
          <w:sz w:val="22"/>
          <w:szCs w:val="22"/>
          <w:lang w:val="ca-ES"/>
        </w:rPr>
        <w:t xml:space="preserve"> Absentisme injustificat, desvinculació de l’entorn educatiu, perfil de fracàs escolar i/o necessitats educatives derivades de la inadaptació al medi escolar. Aquests fets han d’implicar un risc desproporcionat d’abandonament escolar prematur.</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TERCERA.- Les activitats educatives complementàries es desenvoluparan en els espais i les instal·lacions de què disposa l’Ajuntament de Salou, d’acord amb el projecte educatiu elaborat per aquesta corporació en coordinació amb el Departament d’Ensenyament.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L’Ajuntament de Salou col·laborarà amb el centre docent en què l’alumne està escolaritzat en la realització d’activitats educatives específiques i li facilitarà tota la informació necessària per a l’avaluació i la consegüent orientació del procés d’aprenentatge dels alumnes, seguint el procediment establert a les Instruccions d'inici de curs.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QUARTA.- l’Ajuntament de Salou assumeix la prestació del servei per mitjà de la gestió de 14 places d’horari complet, que suposaran una aportació econòmica per part del Departament, d’acord amb les derivacions efectuades pel Departament d’Ensenyament, en funció de les necessitats detectades.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L’aportació econòmica per part del Departament d'Ensenyament serà l’establerta a la clàusula</w:t>
      </w:r>
      <w:r>
        <w:rPr>
          <w:rFonts w:ascii="Tahoma" w:hAnsi="Tahoma" w:cs="Tahoma"/>
          <w:i/>
          <w:sz w:val="22"/>
          <w:szCs w:val="22"/>
          <w:lang w:val="ca-ES"/>
        </w:rPr>
        <w:t xml:space="preserve"> </w:t>
      </w:r>
      <w:r w:rsidRPr="007C5A58">
        <w:rPr>
          <w:rFonts w:ascii="Tahoma" w:hAnsi="Tahoma" w:cs="Tahoma"/>
          <w:i/>
          <w:sz w:val="22"/>
          <w:szCs w:val="22"/>
          <w:lang w:val="ca-ES"/>
        </w:rPr>
        <w:t>sisena del conveni.</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El nombre global de places per mitjà del qual la corporació local assumeix la prestació del servei UEC pot augmentar fins a 3 més de les estipulades al primer paràgraf d’aquesta clàusula, a iniciativa de les parts signants, en qualsevol moment de la vigència del conveni, sense que aquest fet suposi cap despesa addicional per al Departament d'Ensenyament.</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Les places d’horari complet representen una atenció de 30 hores lectives setmanals en l’horari establert amb caràcter general a les instruccions d’inici de curs per a l’alumnat d’ESO. Les places d’horari complet poden ser ocupades per un únic alumne o per diversos alumnes simultàniament o successiva, sempre que no se superi el còmput global de 30 hores lectives setmanals que representa cadascuna. Per tant, la plena ocupació d’una plaça vindrà determinada pel període temporal d’ocupació global, independentment de com s’hagi distribuït.</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Els alumnes derivats pel Departament d’Ensenyament s’incorporaran o es donaran de baixa els dies 1 i 15 de cada mes.</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CINQUENA.- L’Ajuntament de Salou es farà càrrec de la totalitat de les despeses que comporta la realització d’aquestes activitats, així com del funcionament i manteniment dels espais i instal·lacions esmentats.</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L’Ajuntament de Salou disposarà d’una pòlissa de responsabilitat civil per cobrir les responsabilitats derivades del desenvolupament de la UEC.</w:t>
      </w:r>
    </w:p>
    <w:p w:rsidR="001F5CDF"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Així mateix, les activitats externes dutes a terme per l’alumnat procedent de centres públics de titularitat de la Generalitat de Catalunya, queden cobertes per l’assegurança escolar, ja que han d’haver estat autoritzades pel consell escolar del centre. També, aquestes activitats de l’alumnat procedent de centres privats queden cobertes per l’assegurança escolar contractada per mitjà del pagament dels drets de matriculació de l’alumnat.</w:t>
      </w: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Sense perjudici d’allò explicat en els punts anteriors, els possibles danys personals o materials causats involuntàriament a tercers per fets derivats de l’activitat realitzada per l’alumnat de centres de titularitat del Departament d'Ensenyament seran coberts per l’assegurança única de la Generalitat de Catalunya, contractada pel Departament de Vicepresidència i d’Economia i d’Hisenda.</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Així mateix, els possibles danys personals o materials causats involuntàriament a tercers per fets derivats de l’activitat realitzada per l’alumnat de centres de titularitat privada seran coberts per l’assegurança que haurà de tenir contractada la institució titular del centre.</w:t>
      </w:r>
    </w:p>
    <w:p w:rsidR="001F5CDF"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SISENA.- El Departament d’Ensenyament aportarà a l’Ajuntament de Salou la quantitat màxima per alumne i mes de:</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600,00 € (places d’horari complet)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En el cas dels alumnes que comencin les activitats el dia 15 del mes, el Departament d’Ensenyament farà efectiva la meitat de la quantitat mensual establerta per plaça ocupada.</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El lliurament de les quantitats corresponents es farà mensualment d’acord amb la resolució d’autorització d’escolarització compartida del director dels Serveis Territorials, i en funció de les places realment ocupades, previ certificat de la corporació on s’acrediti el nombre d’alumnes que han estat derivats pel Departament d’Ensenyament.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En cas d’absentisme per part d’algun alumne, la corporació ho posarà en coneixement dels serveis territorials del Departament d’Ensenyament corresponents.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L’import màxim que aportarà el Departament d’Ensenyament per al període setembre-desembre de 2018 serà de 29.400,00 euros, amb càrrec a la posició pressupostària D/226002800/4240/0000 del centre gestor EN07 del pressupost per al 2018, i per al període gener-juny de 2019 la quantitat màxima a aportar serà de 50.400,00 euros, que aniran amb càrrec a la posició pressupostària equivalent del pressupost del 2019.</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lastRenderedPageBreak/>
        <w:t>SETENA.- La Inspecció d’Educació revisarà el desenvolupament pedagògic de les activitats objecte d’aquest conveni, la seva adequació als objectius educatius de l’etapa d’educació secundària obligatòria i la correcta adaptació o modificació curricular individual. Així mateix, vetllarà perquè el procediment i les condicions d’adscripció d’alumnat a les Unitats d’Escolarització Compartida (UEC) es facin d’acord amb les instruccions establertes pel Departament d’Ensenyament.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S’establirà un mecanisme de seguiment, interpretació, vigilància i control del conveni i pel seu acompliment, així com dels plans d’actuació i activitats que se’n deriven, a partir d’un treball cooperatiu i col·laboratiu portat a terme per representants de cadascuna de les parts signants de forma paritària. En el si d’aquest treball es coneixeran dels possibles casos d’incompliment de les obligacions i compromisos assumits per cadascuna de les parts i s’establiran les conseqüències aplicables en aquest cas. Així mateix, serà en el si d’aquest treball cooperatiu on es coneixeran i es resoldran qüestions i/o incidències derivades en l’execució del servei.</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VUITENA.- Aquest conveni serà vigent des de la data de seva signatura, i amb efectes des del 15 de setembre de 2018 fins al 30 de juny de 2019 i sense possibilitat de pròrroga.</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NOVENA.- El conveni s’extingiran pel compliment de les actuacions que en constitueixen l’objecte o perquè s’ha incorregut en causa de resolució.</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Són causes de resolució:</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Pr>
          <w:rFonts w:ascii="Tahoma" w:hAnsi="Tahoma" w:cs="Tahoma"/>
          <w:i/>
          <w:sz w:val="22"/>
          <w:szCs w:val="22"/>
          <w:lang w:val="ca-ES"/>
        </w:rPr>
        <w:t>a)E</w:t>
      </w:r>
      <w:r w:rsidRPr="007C5A58">
        <w:rPr>
          <w:rFonts w:ascii="Tahoma" w:hAnsi="Tahoma" w:cs="Tahoma"/>
          <w:i/>
          <w:sz w:val="22"/>
          <w:szCs w:val="22"/>
          <w:lang w:val="ca-ES"/>
        </w:rPr>
        <w:t>l transcurs del termini de vigència del conveni.</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b) L’acord unànime de tots els signants.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c) L’incompliment de les obligacions i els compromisos assumits per part d’algun dels signants.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En aquest cas, qualsevol de les parts pot notificar a la part incomplidora un requeriment perquè compleixi en un termini determinat les obligacions o els compromisos que es consideren incomplerts. Aquest requeriment s’ha de comunicar al responsable del mecanisme de seguiment, vigilància i control de l’execució del conveni i a les altres parts signants.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Si, un cop transcorregut el termini indicat en el requeriment, l’incompliment persisteix, la part que el va adreçar ha de notificar a les parts signants la concurrència de la causa de resolució i el conveni s’entén resolt. La resolució del conveni per aquesta causa pot comportar la indemnització dels perjudicis causats si així s’ha previst.</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d) Per decisió judicial declaratòria de la nul·litat del conveni.</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e) Per qualsevol altra causa diferent de les anteriors prevista en el conveni o en altres lleis.</w:t>
      </w:r>
    </w:p>
    <w:p w:rsidR="001F5CDF"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DESENA.- Les parts es comprometen a:</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 xml:space="preserve">1. Complir el Reglament (UE) 2016/679 del Parlament Europeu i del Consell, de 27 d'abril de 2016, relatiu a la protecció de les persones físiques pel que fa al tractament de dades </w:t>
      </w:r>
      <w:r w:rsidRPr="007C5A58">
        <w:rPr>
          <w:rFonts w:ascii="Tahoma" w:hAnsi="Tahoma" w:cs="Tahoma"/>
          <w:i/>
          <w:sz w:val="22"/>
          <w:szCs w:val="22"/>
          <w:lang w:val="ca-ES"/>
        </w:rPr>
        <w:lastRenderedPageBreak/>
        <w:t>personals i a la lliure circulació d'aquestes dades i pel qual es deroga la Directiva 95/46/CE (Reglament general de protecció de dades); en tot allò que no contradigui al Reglament (UE) 2016/679, i la Llei Orgànica 15/1999, de 13 de desembre, de Protecció de dades de caràcter personal i el seu reglament aprovat pel Reial Decret 1720/2007, així com a aquella altra normativa reguladora de protecció de dades de caràcter personal que sigui d’aplicació durant la vigència d’aquest conveni.</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Pr>
          <w:rFonts w:ascii="Tahoma" w:hAnsi="Tahoma" w:cs="Tahoma"/>
          <w:i/>
          <w:sz w:val="22"/>
          <w:szCs w:val="22"/>
          <w:lang w:val="ca-ES"/>
        </w:rPr>
        <w:t>2.</w:t>
      </w:r>
      <w:r w:rsidRPr="007C5A58">
        <w:rPr>
          <w:rFonts w:ascii="Tahoma" w:hAnsi="Tahoma" w:cs="Tahoma"/>
          <w:i/>
          <w:sz w:val="22"/>
          <w:szCs w:val="22"/>
          <w:lang w:val="ca-ES"/>
        </w:rPr>
        <w:t>Complir la Llei orgànica 1/1982, de 5 de maig, de protecció civil del dret a l’honor, a la intimitat personal i familiar i a la pròpia imatge.</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3. Que el seu respectiu personal, sigui propi o extern, que intervingui en l’execució d’aquest conveni, complirà la normativa vigent en matèria de protecció del menor, i concretament el requisit que determina l’apartat 5 de l’article 13 de la Llei orgànica 1/1996, de 15 de gener de Protecció jurídica del menor, de modificació parcial del codi civil i de la Llei d’enjudiciament civil.</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En aquest sentit, totes les persones que per la seva feina tinguin contacte habitual amb menors hauran de disposar dels certificats legalment establerts per acreditar que no han estat condemnats per sentència ferma per cap delicte contra la llibertat i indemnitat sexual o tràfic d’éssers humans.</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Així mateix l’entitat subscriptora d’aquest conveni es compromet a que en el cas de que encarregui la prestació del servei a una altra entitat pública o privada, aquesta haurà de subscriure explícitament al que disposen els tres apartats anteriors d’aquesta clàusula.</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ONZENA.- Aquest conveni té naturalesa administrativa i es regeix pels articles 47 i següents, de la Llei 40/2015, d'1 d'octubre de règim jurídic del sector públic, i pels articles 108 i següents de la Llei 26/2010, del 3 d'agost, règim jurídic i de procediment de les administracions públiques de Catalunya.</w:t>
      </w:r>
    </w:p>
    <w:p w:rsidR="001F5CDF" w:rsidRPr="007C5A58" w:rsidRDefault="001F5CDF" w:rsidP="001F5CDF">
      <w:pPr>
        <w:jc w:val="both"/>
        <w:rPr>
          <w:rFonts w:ascii="Tahoma" w:hAnsi="Tahoma" w:cs="Tahoma"/>
          <w:i/>
          <w:sz w:val="22"/>
          <w:szCs w:val="22"/>
          <w:lang w:val="ca-ES"/>
        </w:rPr>
      </w:pPr>
    </w:p>
    <w:p w:rsidR="001F5CDF" w:rsidRDefault="001F5CDF" w:rsidP="001F5CDF">
      <w:pPr>
        <w:jc w:val="both"/>
        <w:rPr>
          <w:rFonts w:ascii="Tahoma" w:hAnsi="Tahoma" w:cs="Tahoma"/>
          <w:i/>
          <w:sz w:val="22"/>
          <w:szCs w:val="22"/>
          <w:lang w:val="ca-ES"/>
        </w:rPr>
      </w:pPr>
      <w:r w:rsidRPr="007C5A58">
        <w:rPr>
          <w:rFonts w:ascii="Tahoma" w:hAnsi="Tahoma" w:cs="Tahoma"/>
          <w:i/>
          <w:sz w:val="22"/>
          <w:szCs w:val="22"/>
          <w:lang w:val="ca-ES"/>
        </w:rPr>
        <w:t>Les qüestions litigioses sorgides sobre la interpretació, la modificació, la resolució i els efectes d’aquest conveni, que no puguin ser resoltes d'acord amb el que es determina en el mecanisme de seguiment, vigilància i control que es crea en la clàusula vuitena seran resoltes per la jurisdicció contenciosa administrativa.</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Perquè així consti, s’estén el present document i, en prova de conformitat, el signen les parts indicades</w:t>
      </w:r>
    </w:p>
    <w:p w:rsidR="001F5CDF" w:rsidRPr="007C5A58" w:rsidRDefault="001F5CDF" w:rsidP="001F5CDF">
      <w:pPr>
        <w:jc w:val="both"/>
        <w:rPr>
          <w:rFonts w:ascii="Tahoma" w:hAnsi="Tahoma" w:cs="Tahoma"/>
          <w:i/>
          <w:sz w:val="22"/>
          <w:szCs w:val="22"/>
          <w:lang w:val="ca-ES"/>
        </w:rPr>
      </w:pPr>
    </w:p>
    <w:p w:rsidR="001F5CDF" w:rsidRPr="007C5A58" w:rsidRDefault="001F5CDF" w:rsidP="001F5CDF">
      <w:pPr>
        <w:jc w:val="both"/>
        <w:rPr>
          <w:rFonts w:ascii="Tahoma" w:hAnsi="Tahoma" w:cs="Tahoma"/>
          <w:i/>
          <w:sz w:val="22"/>
          <w:szCs w:val="22"/>
          <w:lang w:val="ca-ES"/>
        </w:rPr>
      </w:pPr>
      <w:r w:rsidRPr="007C5A58">
        <w:rPr>
          <w:rFonts w:ascii="Tahoma" w:hAnsi="Tahoma" w:cs="Tahoma"/>
          <w:i/>
          <w:sz w:val="22"/>
          <w:szCs w:val="22"/>
          <w:lang w:val="ca-ES"/>
        </w:rPr>
        <w:t xml:space="preserve">LA SECRETÀRIA GENERAL </w:t>
      </w:r>
      <w:r w:rsidRPr="007C5A58">
        <w:rPr>
          <w:rFonts w:ascii="Tahoma" w:hAnsi="Tahoma" w:cs="Tahoma"/>
          <w:i/>
          <w:sz w:val="22"/>
          <w:szCs w:val="22"/>
          <w:lang w:val="ca-ES"/>
        </w:rPr>
        <w:tab/>
      </w:r>
      <w:r w:rsidRPr="007C5A58">
        <w:rPr>
          <w:rFonts w:ascii="Tahoma" w:hAnsi="Tahoma" w:cs="Tahoma"/>
          <w:i/>
          <w:sz w:val="22"/>
          <w:szCs w:val="22"/>
          <w:lang w:val="ca-ES"/>
        </w:rPr>
        <w:tab/>
      </w:r>
      <w:r w:rsidRPr="007C5A58">
        <w:rPr>
          <w:rFonts w:ascii="Tahoma" w:hAnsi="Tahoma" w:cs="Tahoma"/>
          <w:i/>
          <w:sz w:val="22"/>
          <w:szCs w:val="22"/>
          <w:lang w:val="ca-ES"/>
        </w:rPr>
        <w:tab/>
        <w:t>L’ALCALDE DE L’AJUNTAMENT DE SALOU</w:t>
      </w:r>
    </w:p>
    <w:p w:rsidR="001F5CDF" w:rsidRPr="007C5A58" w:rsidRDefault="001F5CDF" w:rsidP="001F5CDF">
      <w:pPr>
        <w:jc w:val="both"/>
        <w:rPr>
          <w:rFonts w:ascii="Tahoma" w:hAnsi="Tahoma" w:cs="Tahoma"/>
          <w:sz w:val="22"/>
          <w:szCs w:val="22"/>
          <w:lang w:val="ca-ES"/>
        </w:rPr>
      </w:pPr>
      <w:r w:rsidRPr="007C5A58">
        <w:rPr>
          <w:rFonts w:ascii="Tahoma" w:hAnsi="Tahoma" w:cs="Tahoma"/>
          <w:i/>
          <w:sz w:val="22"/>
          <w:szCs w:val="22"/>
          <w:lang w:val="ca-ES"/>
        </w:rPr>
        <w:t xml:space="preserve">Núria Cuenca León </w:t>
      </w:r>
      <w:r w:rsidRPr="007C5A58">
        <w:rPr>
          <w:rFonts w:ascii="Tahoma" w:hAnsi="Tahoma" w:cs="Tahoma"/>
          <w:i/>
          <w:sz w:val="22"/>
          <w:szCs w:val="22"/>
          <w:lang w:val="ca-ES"/>
        </w:rPr>
        <w:tab/>
      </w:r>
      <w:r w:rsidRPr="007C5A58">
        <w:rPr>
          <w:rFonts w:ascii="Tahoma" w:hAnsi="Tahoma" w:cs="Tahoma"/>
          <w:i/>
          <w:sz w:val="22"/>
          <w:szCs w:val="22"/>
          <w:lang w:val="ca-ES"/>
        </w:rPr>
        <w:tab/>
      </w:r>
      <w:r w:rsidRPr="007C5A58">
        <w:rPr>
          <w:rFonts w:ascii="Tahoma" w:hAnsi="Tahoma" w:cs="Tahoma"/>
          <w:i/>
          <w:sz w:val="22"/>
          <w:szCs w:val="22"/>
          <w:lang w:val="ca-ES"/>
        </w:rPr>
        <w:tab/>
      </w:r>
      <w:r w:rsidRPr="007C5A58">
        <w:rPr>
          <w:rFonts w:ascii="Tahoma" w:hAnsi="Tahoma" w:cs="Tahoma"/>
          <w:i/>
          <w:sz w:val="22"/>
          <w:szCs w:val="22"/>
          <w:lang w:val="ca-ES"/>
        </w:rPr>
        <w:tab/>
        <w:t>Pere Granados Carrillo</w:t>
      </w:r>
      <w:r>
        <w:rPr>
          <w:rFonts w:ascii="Tahoma" w:hAnsi="Tahoma" w:cs="Tahoma"/>
          <w:i/>
          <w:sz w:val="22"/>
          <w:szCs w:val="22"/>
          <w:lang w:val="ca-ES"/>
        </w:rPr>
        <w:t>”</w:t>
      </w:r>
    </w:p>
    <w:p w:rsidR="001F5CDF" w:rsidRPr="001F5CDF" w:rsidRDefault="001F5CDF">
      <w:pPr>
        <w:rPr>
          <w:lang w:val="ca-ES"/>
        </w:rPr>
      </w:pPr>
      <w:bookmarkStart w:id="0" w:name="_GoBack"/>
      <w:bookmarkEnd w:id="0"/>
    </w:p>
    <w:sectPr w:rsidR="001F5CDF" w:rsidRPr="001F5C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CDF"/>
    <w:rsid w:val="001F5C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90C779-D9FA-4ABE-B5D2-F29FB564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CDF"/>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2633</Words>
  <Characters>14485</Characters>
  <Application>Microsoft Office Word</Application>
  <DocSecurity>0</DocSecurity>
  <Lines>120</Lines>
  <Paragraphs>34</Paragraphs>
  <ScaleCrop>false</ScaleCrop>
  <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2019-11-26T13:20:00Z</dcterms:created>
  <dcterms:modified xsi:type="dcterms:W3CDTF">2019-11-26T13:21:00Z</dcterms:modified>
</cp:coreProperties>
</file>